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1D3A" w14:textId="36B7A5BE" w:rsidR="00536DCB" w:rsidRDefault="00536DCB" w:rsidP="00C15015"/>
    <w:p w14:paraId="3E5E28BD" w14:textId="77777777" w:rsidR="00C15015" w:rsidRDefault="00C15015" w:rsidP="00C15015"/>
    <w:p w14:paraId="6855F569" w14:textId="77777777" w:rsidR="00536DCB" w:rsidRPr="008712EC" w:rsidRDefault="00536DCB" w:rsidP="00C15015"/>
    <w:p w14:paraId="353CFBCF" w14:textId="77777777" w:rsidR="00987283" w:rsidRDefault="00987283" w:rsidP="00C15015"/>
    <w:p w14:paraId="44B4B7F4" w14:textId="483E4F9A" w:rsidR="00536DCB" w:rsidRPr="00C15015" w:rsidRDefault="000D26FD" w:rsidP="00C15015">
      <w:pPr>
        <w:pStyle w:val="Title"/>
      </w:pPr>
      <w:bookmarkStart w:id="0" w:name="_Toc39229013"/>
      <w:r w:rsidRPr="00C15015">
        <w:t>GENIUS Testing Plan</w:t>
      </w:r>
      <w:bookmarkEnd w:id="0"/>
    </w:p>
    <w:p w14:paraId="19809F97" w14:textId="38F4F4EB" w:rsidR="000D26FD" w:rsidRDefault="000D26FD" w:rsidP="000D26FD">
      <w:r w:rsidRPr="000D26FD">
        <w:t>The following test plan outlines the test items and features to be tested once functional training has been completed. It has been designed as only a guide and is provided in a format for editing to suit an individual organisation’s requirements.</w:t>
      </w:r>
    </w:p>
    <w:p w14:paraId="2864A853" w14:textId="77777777" w:rsidR="00C15015" w:rsidRPr="000D26FD" w:rsidRDefault="00C15015" w:rsidP="000D26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9F9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456"/>
      </w:tblGrid>
      <w:tr w:rsidR="00C15015" w14:paraId="28522E6E" w14:textId="77777777" w:rsidTr="000E007C">
        <w:tc>
          <w:tcPr>
            <w:tcW w:w="10456" w:type="dxa"/>
            <w:shd w:val="clear" w:color="auto" w:fill="F9F9F9"/>
            <w:vAlign w:val="center"/>
          </w:tcPr>
          <w:sdt>
            <w:sdtPr>
              <w:id w:val="1415823305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noProof/>
              </w:rPr>
            </w:sdtEndPr>
            <w:sdtContent>
              <w:p w14:paraId="37C0C1FE" w14:textId="4080B970" w:rsidR="00C175EE" w:rsidRPr="00C175EE" w:rsidRDefault="00C175EE" w:rsidP="00C175EE">
                <w:pPr>
                  <w:pStyle w:val="TOC1"/>
                  <w:tabs>
                    <w:tab w:val="right" w:leader="dot" w:pos="10456"/>
                  </w:tabs>
                  <w:rPr>
                    <w:b/>
                    <w:bCs/>
                  </w:rPr>
                </w:pPr>
                <w:r w:rsidRPr="00C175EE">
                  <w:rPr>
                    <w:b/>
                    <w:bCs/>
                  </w:rPr>
                  <w:t>Contents</w:t>
                </w:r>
              </w:p>
              <w:p w14:paraId="5A39EA34" w14:textId="57E1B137" w:rsidR="00526EAF" w:rsidRDefault="00C15015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82529224" w:history="1">
                  <w:r w:rsidR="00526EAF" w:rsidRPr="002976FD">
                    <w:rPr>
                      <w:rStyle w:val="Hyperlink"/>
                      <w:noProof/>
                    </w:rPr>
                    <w:t>Test one – sending + signing service agreements</w:t>
                  </w:r>
                  <w:r w:rsidR="00526EAF">
                    <w:rPr>
                      <w:noProof/>
                      <w:webHidden/>
                    </w:rPr>
                    <w:tab/>
                  </w:r>
                  <w:r w:rsidR="00526EAF">
                    <w:rPr>
                      <w:noProof/>
                      <w:webHidden/>
                    </w:rPr>
                    <w:fldChar w:fldCharType="begin"/>
                  </w:r>
                  <w:r w:rsidR="00526EAF">
                    <w:rPr>
                      <w:noProof/>
                      <w:webHidden/>
                    </w:rPr>
                    <w:instrText xml:space="preserve"> PAGEREF _Toc82529224 \h </w:instrText>
                  </w:r>
                  <w:r w:rsidR="00526EAF">
                    <w:rPr>
                      <w:noProof/>
                      <w:webHidden/>
                    </w:rPr>
                  </w:r>
                  <w:r w:rsidR="00526EAF">
                    <w:rPr>
                      <w:noProof/>
                      <w:webHidden/>
                    </w:rPr>
                    <w:fldChar w:fldCharType="separate"/>
                  </w:r>
                  <w:r w:rsidR="00526EAF">
                    <w:rPr>
                      <w:noProof/>
                      <w:webHidden/>
                    </w:rPr>
                    <w:t>1</w:t>
                  </w:r>
                  <w:r w:rsidR="00526EAF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ADAA59A" w14:textId="4143F493" w:rsidR="00526EAF" w:rsidRDefault="00526EAF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hyperlink w:anchor="_Toc82529225" w:history="1">
                  <w:r w:rsidRPr="002976FD">
                    <w:rPr>
                      <w:rStyle w:val="Hyperlink"/>
                      <w:noProof/>
                    </w:rPr>
                    <w:t>Test Two – managing invoices to NDIA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_Toc82529225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110078C" w14:textId="2A499667" w:rsidR="00526EAF" w:rsidRDefault="00526EAF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hyperlink w:anchor="_Toc82529226" w:history="1">
                  <w:r w:rsidRPr="002976FD">
                    <w:rPr>
                      <w:rStyle w:val="Hyperlink"/>
                      <w:noProof/>
                      <w:lang w:val="en-US"/>
                    </w:rPr>
                    <w:t xml:space="preserve">Test </w:t>
                  </w:r>
                  <w:r w:rsidRPr="002976FD">
                    <w:rPr>
                      <w:rStyle w:val="Hyperlink"/>
                      <w:noProof/>
                    </w:rPr>
                    <w:t>Three</w:t>
                  </w:r>
                  <w:r w:rsidRPr="002976FD">
                    <w:rPr>
                      <w:rStyle w:val="Hyperlink"/>
                      <w:noProof/>
                      <w:lang w:val="en-US"/>
                    </w:rPr>
                    <w:t xml:space="preserve"> – managing invoices to Client/Plan manager (Service Providers only)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_Toc82529226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EFE506A" w14:textId="4C7B3F4F" w:rsidR="00526EAF" w:rsidRDefault="00526EAF">
                <w:pPr>
                  <w:pStyle w:val="TOC1"/>
                  <w:tabs>
                    <w:tab w:val="right" w:leader="dot" w:pos="10456"/>
                  </w:tabs>
                  <w:rPr>
                    <w:rFonts w:asciiTheme="minorHAnsi" w:eastAsiaTheme="minorEastAsia" w:hAnsiTheme="minorHAnsi"/>
                    <w:noProof/>
                    <w:color w:val="auto"/>
                    <w:lang w:eastAsia="en-AU"/>
                  </w:rPr>
                </w:pPr>
                <w:hyperlink w:anchor="_Toc82529227" w:history="1">
                  <w:r w:rsidRPr="002976FD">
                    <w:rPr>
                      <w:rStyle w:val="Hyperlink"/>
                      <w:noProof/>
                      <w:lang w:val="en-US"/>
                    </w:rPr>
                    <w:t xml:space="preserve">Test Four – </w:t>
                  </w:r>
                  <w:r w:rsidRPr="002976FD">
                    <w:rPr>
                      <w:rStyle w:val="Hyperlink"/>
                      <w:noProof/>
                    </w:rPr>
                    <w:t>managing</w:t>
                  </w:r>
                  <w:r w:rsidRPr="002976FD">
                    <w:rPr>
                      <w:rStyle w:val="Hyperlink"/>
                      <w:noProof/>
                      <w:lang w:val="en-US"/>
                    </w:rPr>
                    <w:t xml:space="preserve"> engagements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_Toc82529227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F123398" w14:textId="0D5FC216" w:rsidR="00C15015" w:rsidRDefault="00C15015" w:rsidP="000E007C">
                <w:pPr>
                  <w:pStyle w:val="TOC1"/>
                  <w:tabs>
                    <w:tab w:val="right" w:leader="dot" w:pos="10456"/>
                  </w:tabs>
                </w:pPr>
                <w:r>
                  <w:rPr>
                    <w:b/>
                    <w:bCs/>
                    <w:noProof/>
                  </w:rPr>
                  <w:fldChar w:fldCharType="end"/>
                </w:r>
              </w:p>
            </w:sdtContent>
          </w:sdt>
        </w:tc>
      </w:tr>
    </w:tbl>
    <w:p w14:paraId="0B635D73" w14:textId="77777777" w:rsidR="00536DCB" w:rsidRPr="00ED40E2" w:rsidRDefault="00536DCB" w:rsidP="000D26FD">
      <w:pPr>
        <w:pStyle w:val="Heading2"/>
      </w:pPr>
    </w:p>
    <w:p w14:paraId="7E04BAB9" w14:textId="0A58B029" w:rsidR="00536DCB" w:rsidRPr="00C15015" w:rsidRDefault="00C15015" w:rsidP="00C15015">
      <w:pPr>
        <w:pStyle w:val="Heading1"/>
      </w:pPr>
      <w:bookmarkStart w:id="1" w:name="_Toc82529224"/>
      <w:r w:rsidRPr="00C15015">
        <w:t>Test one – sending + signing service agreements</w:t>
      </w:r>
      <w:bookmarkEnd w:id="1"/>
      <w:r w:rsidRPr="00C15015">
        <w:t xml:space="preserve">  </w:t>
      </w:r>
    </w:p>
    <w:p w14:paraId="19F08CD4" w14:textId="4DD636F1" w:rsidR="000D26FD" w:rsidRPr="00A47BE4" w:rsidRDefault="000D26FD" w:rsidP="000D26FD">
      <w:pPr>
        <w:rPr>
          <w:b/>
          <w:bCs/>
        </w:rPr>
      </w:pPr>
      <w:r w:rsidRPr="00A47BE4">
        <w:rPr>
          <w:b/>
          <w:bCs/>
        </w:rPr>
        <w:t>To test sending + signing a service agreement</w:t>
      </w:r>
    </w:p>
    <w:p w14:paraId="73067769" w14:textId="720E9BCF" w:rsidR="000D26FD" w:rsidRPr="000D26FD" w:rsidRDefault="000D26FD" w:rsidP="000D26FD">
      <w:pPr>
        <w:pStyle w:val="ListParagraph"/>
      </w:pPr>
      <w:r w:rsidRPr="000D26FD">
        <w:t>Access your GENIUS client engagement</w:t>
      </w:r>
    </w:p>
    <w:p w14:paraId="5A1FDF85" w14:textId="77777777" w:rsidR="000D26FD" w:rsidRPr="000D26FD" w:rsidRDefault="000D26FD" w:rsidP="000D26FD">
      <w:pPr>
        <w:pStyle w:val="ListParagraph"/>
      </w:pPr>
      <w:r w:rsidRPr="000D26FD">
        <w:t>Select ‘Edit’</w:t>
      </w:r>
    </w:p>
    <w:p w14:paraId="13CECC35" w14:textId="77777777" w:rsidR="000D26FD" w:rsidRPr="000D26FD" w:rsidRDefault="000D26FD" w:rsidP="000D26FD">
      <w:pPr>
        <w:pStyle w:val="ListParagraph"/>
      </w:pPr>
      <w:r w:rsidRPr="000D26FD">
        <w:t xml:space="preserve">Expand ‘Service Agreement’ </w:t>
      </w:r>
    </w:p>
    <w:p w14:paraId="7F7CCD64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‘Send agreement’</w:t>
      </w:r>
    </w:p>
    <w:p w14:paraId="71E061BF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service agreement template</w:t>
      </w:r>
    </w:p>
    <w:p w14:paraId="4812D64B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‘Client/Representative’</w:t>
      </w:r>
    </w:p>
    <w:p w14:paraId="15B3E978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Click ‘Send’</w:t>
      </w:r>
    </w:p>
    <w:p w14:paraId="32105B7D" w14:textId="77777777" w:rsidR="000D26FD" w:rsidRPr="000D26FD" w:rsidRDefault="000D26FD" w:rsidP="000D26FD">
      <w:pPr>
        <w:pStyle w:val="ListParagraph"/>
      </w:pPr>
      <w:r w:rsidRPr="000D26FD">
        <w:t>This will open the electronic signature form</w:t>
      </w:r>
    </w:p>
    <w:p w14:paraId="38929B69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‘Get started’</w:t>
      </w:r>
    </w:p>
    <w:p w14:paraId="6B60CC2E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 xml:space="preserve">Select ‘Click to sign’ </w:t>
      </w:r>
    </w:p>
    <w:p w14:paraId="7B85F406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Insert signature</w:t>
      </w:r>
    </w:p>
    <w:p w14:paraId="5CEF78FF" w14:textId="77777777" w:rsidR="000D26FD" w:rsidRPr="000D26FD" w:rsidRDefault="000D26FD" w:rsidP="000D26FD">
      <w:pPr>
        <w:pStyle w:val="ListParagraph"/>
        <w:numPr>
          <w:ilvl w:val="1"/>
          <w:numId w:val="17"/>
        </w:numPr>
      </w:pPr>
      <w:r w:rsidRPr="000D26FD">
        <w:t>Select ‘Continue’ + ‘Confirm</w:t>
      </w:r>
    </w:p>
    <w:p w14:paraId="6A01C15A" w14:textId="77777777" w:rsidR="000D26FD" w:rsidRPr="000D26FD" w:rsidRDefault="000D26FD" w:rsidP="000D26FD">
      <w:pPr>
        <w:pStyle w:val="ListParagraph"/>
      </w:pPr>
      <w:r w:rsidRPr="000D26FD">
        <w:t>Upon signing, service agreement will send to the recipient for signing</w:t>
      </w:r>
    </w:p>
    <w:p w14:paraId="6063770E" w14:textId="77777777" w:rsidR="000D26FD" w:rsidRPr="000D26FD" w:rsidRDefault="000D26FD" w:rsidP="000D26FD">
      <w:pPr>
        <w:pStyle w:val="ListParagraph"/>
      </w:pPr>
      <w:r w:rsidRPr="000D26FD">
        <w:t>Recipient opens the form and signs from the email sent to them</w:t>
      </w:r>
    </w:p>
    <w:p w14:paraId="5FB5BA2B" w14:textId="595D43DD" w:rsidR="00ED40E2" w:rsidRDefault="00ED40E2" w:rsidP="000D26FD"/>
    <w:p w14:paraId="2DDE9377" w14:textId="2E068774" w:rsidR="00A47BE4" w:rsidRDefault="00A47BE4" w:rsidP="00A47BE4">
      <w:pPr>
        <w:ind w:left="720" w:hanging="360"/>
      </w:pPr>
    </w:p>
    <w:p w14:paraId="4B87470E" w14:textId="2F719E65" w:rsidR="00A47BE4" w:rsidRDefault="00A47BE4" w:rsidP="00C15015">
      <w:pPr>
        <w:pStyle w:val="Heading1"/>
      </w:pPr>
      <w:bookmarkStart w:id="2" w:name="_Toc82529225"/>
      <w:r>
        <w:t xml:space="preserve">Test </w:t>
      </w:r>
      <w:r w:rsidR="00526EAF">
        <w:t>Two</w:t>
      </w:r>
      <w:r>
        <w:t xml:space="preserve"> – managing invoices to NDIA</w:t>
      </w:r>
      <w:bookmarkEnd w:id="2"/>
    </w:p>
    <w:p w14:paraId="2736213B" w14:textId="77777777" w:rsidR="00A47BE4" w:rsidRPr="00E6427C" w:rsidRDefault="00A47BE4" w:rsidP="00A47BE4">
      <w:pPr>
        <w:rPr>
          <w:b/>
          <w:bCs/>
          <w:lang w:val="en-US"/>
        </w:rPr>
      </w:pPr>
      <w:r w:rsidRPr="00E6427C">
        <w:rPr>
          <w:b/>
          <w:bCs/>
          <w:lang w:val="en-US"/>
        </w:rPr>
        <w:t xml:space="preserve">Steps </w:t>
      </w:r>
    </w:p>
    <w:p w14:paraId="62A5A74D" w14:textId="1E4CC89A" w:rsidR="00A47BE4" w:rsidRPr="00E6427C" w:rsidRDefault="00A47BE4" w:rsidP="00A47BE4">
      <w:pPr>
        <w:rPr>
          <w:lang w:val="en-US"/>
        </w:rPr>
      </w:pPr>
      <w:r>
        <w:rPr>
          <w:lang w:val="en-US"/>
        </w:rPr>
        <w:t xml:space="preserve">There are a number of different types of invoices created in the NDIA invoice </w:t>
      </w:r>
      <w:proofErr w:type="gramStart"/>
      <w:r>
        <w:rPr>
          <w:lang w:val="en-US"/>
        </w:rPr>
        <w:t>panel :</w:t>
      </w:r>
      <w:proofErr w:type="gramEnd"/>
    </w:p>
    <w:p w14:paraId="08103122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Create a one - off invoice</w:t>
      </w:r>
    </w:p>
    <w:p w14:paraId="70399800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Create a recurring invoice</w:t>
      </w:r>
    </w:p>
    <w:p w14:paraId="6C89301C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Create a PocketWatch invoice (Service providers only) </w:t>
      </w:r>
    </w:p>
    <w:p w14:paraId="6607829A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Generate bulk upload</w:t>
      </w:r>
    </w:p>
    <w:p w14:paraId="492A4575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Reconcile invoice</w:t>
      </w:r>
    </w:p>
    <w:p w14:paraId="75B7687A" w14:textId="77777777" w:rsidR="00A47BE4" w:rsidRDefault="00A47BE4" w:rsidP="00A47BE4">
      <w:pPr>
        <w:pStyle w:val="ListParagraph"/>
        <w:numPr>
          <w:ilvl w:val="0"/>
          <w:numId w:val="20"/>
        </w:numPr>
        <w:spacing w:after="160" w:line="259" w:lineRule="auto"/>
        <w:rPr>
          <w:lang w:val="en-US"/>
        </w:rPr>
      </w:pPr>
      <w:r>
        <w:rPr>
          <w:lang w:val="en-US"/>
        </w:rPr>
        <w:t>Sync invoice</w:t>
      </w:r>
    </w:p>
    <w:p w14:paraId="66540939" w14:textId="652E3652" w:rsidR="00A47BE4" w:rsidRDefault="00A47BE4" w:rsidP="00A47BE4"/>
    <w:p w14:paraId="37E2AC65" w14:textId="74BEEC90" w:rsidR="00A47BE4" w:rsidRPr="00A47BE4" w:rsidRDefault="00A47BE4" w:rsidP="00A47BE4">
      <w:pPr>
        <w:rPr>
          <w:b/>
          <w:bCs/>
        </w:rPr>
      </w:pPr>
      <w:r w:rsidRPr="00A47BE4">
        <w:rPr>
          <w:b/>
          <w:bCs/>
        </w:rPr>
        <w:t>To test managing invoices to NDIA managed claims</w:t>
      </w:r>
    </w:p>
    <w:p w14:paraId="0DFC6FC4" w14:textId="363F6992" w:rsidR="00A47BE4" w:rsidRDefault="00A47BE4" w:rsidP="00A47BE4">
      <w:pPr>
        <w:pStyle w:val="ListParagraph"/>
        <w:numPr>
          <w:ilvl w:val="0"/>
          <w:numId w:val="21"/>
        </w:numPr>
      </w:pPr>
      <w:r>
        <w:t>In Invoice to NDIA, select ‘Create invoice’</w:t>
      </w:r>
    </w:p>
    <w:p w14:paraId="28587A36" w14:textId="39C1DDB5" w:rsidR="00A47BE4" w:rsidRDefault="00A47BE4" w:rsidP="00A47BE4">
      <w:pPr>
        <w:pStyle w:val="ListParagraph"/>
        <w:numPr>
          <w:ilvl w:val="1"/>
          <w:numId w:val="21"/>
        </w:numPr>
      </w:pPr>
      <w:r>
        <w:t>Select the client</w:t>
      </w:r>
    </w:p>
    <w:p w14:paraId="65553272" w14:textId="413B72B4" w:rsidR="00A47BE4" w:rsidRDefault="00A47BE4" w:rsidP="00A47BE4">
      <w:pPr>
        <w:pStyle w:val="ListParagraph"/>
        <w:numPr>
          <w:ilvl w:val="1"/>
          <w:numId w:val="21"/>
        </w:numPr>
      </w:pPr>
      <w:r>
        <w:t>Enter start + end period</w:t>
      </w:r>
    </w:p>
    <w:p w14:paraId="107D2E89" w14:textId="0D1736B1" w:rsidR="00A47BE4" w:rsidRDefault="00A47BE4" w:rsidP="00A47BE4">
      <w:pPr>
        <w:pStyle w:val="ListParagraph"/>
        <w:numPr>
          <w:ilvl w:val="1"/>
          <w:numId w:val="21"/>
        </w:numPr>
      </w:pPr>
      <w:r>
        <w:t>Enter due date (NB: leave this empty to create a draft bill when exporting to Xero/MYOB)</w:t>
      </w:r>
    </w:p>
    <w:p w14:paraId="2D6EFF8F" w14:textId="0033F0BE" w:rsidR="00A47BE4" w:rsidRDefault="00A47BE4" w:rsidP="00A47BE4">
      <w:pPr>
        <w:pStyle w:val="ListParagraph"/>
        <w:numPr>
          <w:ilvl w:val="1"/>
          <w:numId w:val="21"/>
        </w:numPr>
      </w:pPr>
      <w:r>
        <w:t>Select price book</w:t>
      </w:r>
    </w:p>
    <w:p w14:paraId="164ED6DC" w14:textId="279160CB" w:rsidR="00A47BE4" w:rsidRDefault="00A47BE4" w:rsidP="00A47BE4">
      <w:pPr>
        <w:pStyle w:val="ListParagraph"/>
        <w:numPr>
          <w:ilvl w:val="1"/>
          <w:numId w:val="21"/>
        </w:numPr>
      </w:pPr>
      <w:r>
        <w:t>Select the item code</w:t>
      </w:r>
    </w:p>
    <w:p w14:paraId="69957B74" w14:textId="6A99831C" w:rsidR="00A47BE4" w:rsidRDefault="00A47BE4" w:rsidP="00A47BE4">
      <w:pPr>
        <w:pStyle w:val="ListParagraph"/>
        <w:numPr>
          <w:ilvl w:val="1"/>
          <w:numId w:val="21"/>
        </w:numPr>
      </w:pPr>
      <w:r>
        <w:t>Enter quantity</w:t>
      </w:r>
    </w:p>
    <w:p w14:paraId="38E6C2E7" w14:textId="4ED51D03" w:rsidR="00A47BE4" w:rsidRDefault="00A47BE4" w:rsidP="00A47BE4">
      <w:pPr>
        <w:pStyle w:val="ListParagraph"/>
        <w:numPr>
          <w:ilvl w:val="1"/>
          <w:numId w:val="21"/>
        </w:numPr>
      </w:pPr>
      <w:r>
        <w:t>Click ‘Save’</w:t>
      </w:r>
    </w:p>
    <w:p w14:paraId="53F9680B" w14:textId="77777777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Approve the invoice</w:t>
      </w:r>
    </w:p>
    <w:p w14:paraId="22194058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Approved invoices will automatically be added to the bulk upload file when it is generated</w:t>
      </w:r>
    </w:p>
    <w:p w14:paraId="1C8DEC37" w14:textId="77777777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Generate bulk upload file</w:t>
      </w:r>
    </w:p>
    <w:p w14:paraId="0BABB6FA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 report’</w:t>
      </w:r>
    </w:p>
    <w:p w14:paraId="559742C0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Select ‘NDIS Bulk Upload File’ </w:t>
      </w:r>
    </w:p>
    <w:p w14:paraId="26E8A6DA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‘Generate’</w:t>
      </w:r>
    </w:p>
    <w:p w14:paraId="4655D0A3" w14:textId="77777777" w:rsidR="00A47BE4" w:rsidRPr="00A47BE4" w:rsidRDefault="00A47BE4" w:rsidP="00A47BE4">
      <w:pPr>
        <w:pStyle w:val="ListParagraph"/>
        <w:numPr>
          <w:ilvl w:val="1"/>
          <w:numId w:val="21"/>
        </w:numPr>
        <w:rPr>
          <w:lang w:val="en-US"/>
        </w:rPr>
      </w:pPr>
      <w:r w:rsidRPr="00A47BE4">
        <w:rPr>
          <w:lang w:val="en-US"/>
        </w:rPr>
        <w:t>NB: Do not change the name of this file. The bulk upload will generate with a filename convention YYYYMMDD000000.CSV.</w:t>
      </w:r>
    </w:p>
    <w:p w14:paraId="01DE1B98" w14:textId="77777777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Upload the NDIS Bulk Upload file to the NDIA Portal</w:t>
      </w:r>
    </w:p>
    <w:p w14:paraId="40D53B9C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Once the bulk upload is complete, the NDIA should provide a Payee Payment Remittance Advice within 1-5 business days</w:t>
      </w:r>
    </w:p>
    <w:p w14:paraId="4F5C9BA7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The remittance advice will be used for reconciling payments in GENIUS</w:t>
      </w:r>
    </w:p>
    <w:p w14:paraId="77225B3A" w14:textId="77777777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Upon receiving Payee Payment Remittance Advice CSV from the NDIA, return to GENIUS</w:t>
      </w:r>
    </w:p>
    <w:p w14:paraId="7C12B076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 report’</w:t>
      </w:r>
    </w:p>
    <w:p w14:paraId="74088A63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‘NDIA Reconciliation Report’</w:t>
      </w:r>
    </w:p>
    <w:p w14:paraId="06B1EAFC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Select ‘Choose file’ </w:t>
      </w:r>
    </w:p>
    <w:p w14:paraId="72907220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the Payee Payment Remittance Advice CSV file</w:t>
      </w:r>
    </w:p>
    <w:p w14:paraId="2A7738C0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‘Generate’</w:t>
      </w:r>
    </w:p>
    <w:p w14:paraId="2E2D698C" w14:textId="77777777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On selecting ‘Generate’ the reconciliation is complete and a reconciliation results report will be generated</w:t>
      </w:r>
    </w:p>
    <w:p w14:paraId="1F36F834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lastRenderedPageBreak/>
        <w:t>Open the Reconciliation results report</w:t>
      </w:r>
    </w:p>
    <w:p w14:paraId="60C6ED28" w14:textId="1892C4D4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If the invoice was fully paid, column Q will show ‘TRUE’</w:t>
      </w:r>
    </w:p>
    <w:p w14:paraId="756BF66D" w14:textId="77777777" w:rsidR="00A47BE4" w:rsidRDefault="00A47BE4" w:rsidP="00A47BE4">
      <w:pPr>
        <w:pStyle w:val="ListParagraph"/>
        <w:numPr>
          <w:ilvl w:val="2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These invoices will be treated as ‘NDIA Reconciled’</w:t>
      </w:r>
    </w:p>
    <w:p w14:paraId="49D9ABB5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If the invoice was partially paid, column Q will show ‘FALSE’</w:t>
      </w:r>
    </w:p>
    <w:p w14:paraId="3E9D1F30" w14:textId="77777777" w:rsidR="00A47BE4" w:rsidRDefault="00A47BE4" w:rsidP="00A47BE4">
      <w:pPr>
        <w:pStyle w:val="ListParagraph"/>
        <w:numPr>
          <w:ilvl w:val="2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These invoices will be treated as ‘NDIA Claimed + Gap’</w:t>
      </w:r>
    </w:p>
    <w:p w14:paraId="2CC24583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If the invoice was not recognized as a GENIUS invoice, column Q will remain blank</w:t>
      </w:r>
    </w:p>
    <w:p w14:paraId="33F17A99" w14:textId="05865B2B" w:rsidR="00A47BE4" w:rsidRDefault="00A47BE4" w:rsidP="00A47BE4">
      <w:pPr>
        <w:pStyle w:val="ListParagraph"/>
        <w:numPr>
          <w:ilvl w:val="2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This commonly occurs if the bulk upload filename was changed prior to uploading to the portal</w:t>
      </w:r>
    </w:p>
    <w:p w14:paraId="0E643766" w14:textId="0725272D" w:rsidR="00A47BE4" w:rsidRPr="00A47BE4" w:rsidRDefault="00A47BE4" w:rsidP="00A47BE4">
      <w:pPr>
        <w:ind w:left="720" w:firstLine="720"/>
        <w:rPr>
          <w:lang w:val="en-US"/>
        </w:rPr>
      </w:pPr>
      <w:r>
        <w:rPr>
          <w:noProof/>
        </w:rPr>
        <w:drawing>
          <wp:inline distT="0" distB="0" distL="0" distR="0" wp14:anchorId="62AF5023" wp14:editId="7AA22B19">
            <wp:extent cx="5731510" cy="581025"/>
            <wp:effectExtent l="0" t="0" r="254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9C6D" w14:textId="77777777" w:rsidR="00A47BE4" w:rsidRPr="00A47BE4" w:rsidRDefault="00A47BE4" w:rsidP="00A47BE4">
      <w:pPr>
        <w:pStyle w:val="ListParagraph"/>
        <w:numPr>
          <w:ilvl w:val="0"/>
          <w:numId w:val="21"/>
        </w:numPr>
        <w:spacing w:after="160" w:line="259" w:lineRule="auto"/>
        <w:rPr>
          <w:lang w:val="en-US"/>
        </w:rPr>
      </w:pPr>
      <w:r w:rsidRPr="00A47BE4">
        <w:rPr>
          <w:lang w:val="en-US"/>
        </w:rPr>
        <w:t>Once reconciled, the invoice can be synced to MYOB/Xero</w:t>
      </w:r>
    </w:p>
    <w:p w14:paraId="5D43EC38" w14:textId="77777777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the invoice</w:t>
      </w:r>
    </w:p>
    <w:p w14:paraId="254CC89F" w14:textId="5DE52D66" w:rsidR="00A47BE4" w:rsidRDefault="00A47BE4" w:rsidP="00A47BE4">
      <w:pPr>
        <w:pStyle w:val="ListParagraph"/>
        <w:numPr>
          <w:ilvl w:val="1"/>
          <w:numId w:val="21"/>
        </w:numPr>
        <w:spacing w:after="160" w:line="259" w:lineRule="auto"/>
        <w:rPr>
          <w:lang w:val="en-US"/>
        </w:rPr>
      </w:pPr>
      <w:r>
        <w:rPr>
          <w:lang w:val="en-US"/>
        </w:rPr>
        <w:t>Select ‘Sync selected'</w:t>
      </w:r>
    </w:p>
    <w:p w14:paraId="3C0B9299" w14:textId="4244F8F9" w:rsidR="00A47BE4" w:rsidRDefault="00A47BE4" w:rsidP="00A47BE4">
      <w:pPr>
        <w:rPr>
          <w:lang w:val="en-US"/>
        </w:rPr>
      </w:pPr>
    </w:p>
    <w:p w14:paraId="6B103675" w14:textId="37B2620E" w:rsidR="00A47BE4" w:rsidRDefault="00A47BE4" w:rsidP="00C15015">
      <w:pPr>
        <w:pStyle w:val="Heading1"/>
        <w:rPr>
          <w:lang w:val="en-US"/>
        </w:rPr>
      </w:pPr>
      <w:bookmarkStart w:id="3" w:name="_Toc82529226"/>
      <w:r>
        <w:rPr>
          <w:lang w:val="en-US"/>
        </w:rPr>
        <w:t xml:space="preserve">Test </w:t>
      </w:r>
      <w:r w:rsidR="00526EAF">
        <w:t>Three</w:t>
      </w:r>
      <w:r>
        <w:rPr>
          <w:lang w:val="en-US"/>
        </w:rPr>
        <w:t xml:space="preserve"> – managing invoices to Client/Plan manager (Service Providers only)</w:t>
      </w:r>
      <w:bookmarkEnd w:id="3"/>
    </w:p>
    <w:p w14:paraId="4FDDCACF" w14:textId="48161F1B" w:rsidR="00A47BE4" w:rsidRDefault="00A47BE4" w:rsidP="00A47BE4">
      <w:pPr>
        <w:rPr>
          <w:lang w:val="en-US"/>
        </w:rPr>
      </w:pPr>
      <w:r>
        <w:rPr>
          <w:b/>
          <w:bCs/>
          <w:lang w:val="en-US"/>
        </w:rPr>
        <w:t>Steps</w:t>
      </w:r>
    </w:p>
    <w:p w14:paraId="03F23E2D" w14:textId="77777777" w:rsidR="00A47BE4" w:rsidRPr="008847CC" w:rsidRDefault="00A47BE4" w:rsidP="00A47BE4">
      <w:pPr>
        <w:rPr>
          <w:lang w:val="en-US"/>
        </w:rPr>
      </w:pPr>
      <w:r>
        <w:rPr>
          <w:lang w:val="en-US"/>
        </w:rPr>
        <w:t xml:space="preserve">There are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different types of invoices created in the NDIA invoice panel </w:t>
      </w:r>
    </w:p>
    <w:p w14:paraId="0B194B2E" w14:textId="77777777" w:rsidR="00A47BE4" w:rsidRPr="00A47BE4" w:rsidRDefault="00A47BE4" w:rsidP="00A47BE4">
      <w:pPr>
        <w:pStyle w:val="ListParagraph"/>
        <w:numPr>
          <w:ilvl w:val="0"/>
          <w:numId w:val="23"/>
        </w:numPr>
      </w:pPr>
      <w:r w:rsidRPr="00A47BE4">
        <w:t>Invoice to Client/Plan manager</w:t>
      </w:r>
    </w:p>
    <w:p w14:paraId="065D1271" w14:textId="23D059FF" w:rsidR="00A47BE4" w:rsidRPr="00A47BE4" w:rsidRDefault="00A47BE4" w:rsidP="00A47BE4">
      <w:pPr>
        <w:pStyle w:val="ListParagraph"/>
        <w:numPr>
          <w:ilvl w:val="1"/>
          <w:numId w:val="23"/>
        </w:numPr>
      </w:pPr>
      <w:r w:rsidRPr="00A47BE4">
        <w:t>Create a manual invoice</w:t>
      </w:r>
    </w:p>
    <w:p w14:paraId="3B9928A1" w14:textId="77777777" w:rsidR="00A47BE4" w:rsidRPr="00A47BE4" w:rsidRDefault="00A47BE4" w:rsidP="00A47BE4">
      <w:pPr>
        <w:pStyle w:val="ListParagraph"/>
        <w:numPr>
          <w:ilvl w:val="1"/>
          <w:numId w:val="23"/>
        </w:numPr>
      </w:pPr>
      <w:r w:rsidRPr="00A47BE4">
        <w:t>Create a recurring invoice</w:t>
      </w:r>
    </w:p>
    <w:p w14:paraId="7DB88F70" w14:textId="77777777" w:rsidR="00A47BE4" w:rsidRPr="00A47BE4" w:rsidRDefault="00A47BE4" w:rsidP="00A47BE4">
      <w:pPr>
        <w:pStyle w:val="ListParagraph"/>
        <w:numPr>
          <w:ilvl w:val="1"/>
          <w:numId w:val="23"/>
        </w:numPr>
      </w:pPr>
      <w:r w:rsidRPr="00A47BE4">
        <w:t>Create a PocketWatch invoice</w:t>
      </w:r>
    </w:p>
    <w:p w14:paraId="2C63AB8F" w14:textId="77777777" w:rsidR="00A47BE4" w:rsidRPr="00A47BE4" w:rsidRDefault="00A47BE4" w:rsidP="00A47BE4">
      <w:pPr>
        <w:pStyle w:val="ListParagraph"/>
        <w:numPr>
          <w:ilvl w:val="1"/>
          <w:numId w:val="23"/>
        </w:numPr>
      </w:pPr>
      <w:r w:rsidRPr="00A47BE4">
        <w:t>Send invoice</w:t>
      </w:r>
    </w:p>
    <w:p w14:paraId="06B947C6" w14:textId="77777777" w:rsidR="00A47BE4" w:rsidRPr="00A47BE4" w:rsidRDefault="00A47BE4" w:rsidP="00A47BE4">
      <w:pPr>
        <w:pStyle w:val="ListParagraph"/>
        <w:numPr>
          <w:ilvl w:val="1"/>
          <w:numId w:val="23"/>
        </w:numPr>
      </w:pPr>
      <w:r w:rsidRPr="00A47BE4">
        <w:t>Reconcile invoice</w:t>
      </w:r>
    </w:p>
    <w:p w14:paraId="0D031A99" w14:textId="77777777" w:rsidR="00A47BE4" w:rsidRPr="00A47BE4" w:rsidRDefault="00A47BE4" w:rsidP="00A47BE4">
      <w:pPr>
        <w:pStyle w:val="ListParagraph"/>
        <w:numPr>
          <w:ilvl w:val="1"/>
          <w:numId w:val="23"/>
        </w:numPr>
      </w:pPr>
      <w:r w:rsidRPr="00A47BE4">
        <w:t>Sync invoice</w:t>
      </w:r>
    </w:p>
    <w:p w14:paraId="02E99E32" w14:textId="77777777" w:rsidR="00A47BE4" w:rsidRDefault="00A47BE4" w:rsidP="00A47BE4">
      <w:pPr>
        <w:rPr>
          <w:b/>
          <w:bCs/>
          <w:lang w:val="en-US"/>
        </w:rPr>
      </w:pPr>
    </w:p>
    <w:p w14:paraId="13B438C3" w14:textId="3494D8BE" w:rsidR="00A47BE4" w:rsidRDefault="00A47BE4" w:rsidP="00A47BE4">
      <w:pPr>
        <w:rPr>
          <w:b/>
          <w:bCs/>
          <w:lang w:val="en-US"/>
        </w:rPr>
      </w:pPr>
      <w:r>
        <w:rPr>
          <w:b/>
          <w:bCs/>
          <w:lang w:val="en-US"/>
        </w:rPr>
        <w:t>To test managing an invoice to the Client/Plan manager</w:t>
      </w:r>
    </w:p>
    <w:p w14:paraId="1FEA7B89" w14:textId="0191F3B1" w:rsidR="00A47BE4" w:rsidRPr="00A47BE4" w:rsidRDefault="00A47BE4" w:rsidP="00A47BE4">
      <w:pPr>
        <w:pStyle w:val="ListParagraph"/>
        <w:numPr>
          <w:ilvl w:val="0"/>
          <w:numId w:val="24"/>
        </w:numPr>
        <w:rPr>
          <w:lang w:val="en-US"/>
        </w:rPr>
      </w:pPr>
      <w:r w:rsidRPr="00A47BE4">
        <w:rPr>
          <w:lang w:val="en-US"/>
        </w:rPr>
        <w:t>In Invoice to Client/Plan Manager, select ‘Create invoice’</w:t>
      </w:r>
    </w:p>
    <w:p w14:paraId="53DBE193" w14:textId="77777777" w:rsidR="00A47BE4" w:rsidRDefault="00A47BE4" w:rsidP="00A47BE4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Select the client</w:t>
      </w:r>
    </w:p>
    <w:p w14:paraId="4E1D11DE" w14:textId="77777777" w:rsidR="00A47BE4" w:rsidRDefault="00A47BE4" w:rsidP="00A47BE4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Enter start + end period</w:t>
      </w:r>
    </w:p>
    <w:p w14:paraId="4F414623" w14:textId="77777777" w:rsidR="00A47BE4" w:rsidRDefault="00A47BE4" w:rsidP="00A47BE4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Enter due date (NB: leave this empty to create a draft bill when exporting to Xero/MYOB)</w:t>
      </w:r>
    </w:p>
    <w:p w14:paraId="6C40BAFE" w14:textId="77777777" w:rsidR="00A47BE4" w:rsidRDefault="00A47BE4" w:rsidP="00A47BE4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Select price book</w:t>
      </w:r>
    </w:p>
    <w:p w14:paraId="4F85CE04" w14:textId="77777777" w:rsidR="00A47BE4" w:rsidRDefault="00A47BE4" w:rsidP="00A47BE4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Select the item code</w:t>
      </w:r>
    </w:p>
    <w:p w14:paraId="0037D38A" w14:textId="77777777" w:rsidR="00A47BE4" w:rsidRDefault="00A47BE4" w:rsidP="00A47BE4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Enter quantity</w:t>
      </w:r>
    </w:p>
    <w:p w14:paraId="4D4BC252" w14:textId="138B32B9" w:rsidR="00A47BE4" w:rsidRDefault="00A47BE4" w:rsidP="00A47BE4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Click ‘Save’</w:t>
      </w:r>
    </w:p>
    <w:p w14:paraId="498FD8A3" w14:textId="77777777" w:rsidR="00A47BE4" w:rsidRPr="00A47BE4" w:rsidRDefault="00A47BE4" w:rsidP="00A47BE4">
      <w:pPr>
        <w:pStyle w:val="ListParagraph"/>
        <w:numPr>
          <w:ilvl w:val="0"/>
          <w:numId w:val="24"/>
        </w:numPr>
        <w:rPr>
          <w:lang w:val="en-US"/>
        </w:rPr>
      </w:pPr>
      <w:r w:rsidRPr="00A47BE4">
        <w:rPr>
          <w:lang w:val="en-US"/>
        </w:rPr>
        <w:t>Approve the invoice</w:t>
      </w:r>
    </w:p>
    <w:p w14:paraId="2E76CC18" w14:textId="77777777" w:rsidR="00A47BE4" w:rsidRPr="00A47BE4" w:rsidRDefault="00A47BE4" w:rsidP="00A47BE4">
      <w:pPr>
        <w:pStyle w:val="ListParagraph"/>
        <w:numPr>
          <w:ilvl w:val="0"/>
          <w:numId w:val="24"/>
        </w:numPr>
        <w:rPr>
          <w:lang w:val="en-US"/>
        </w:rPr>
      </w:pPr>
      <w:r w:rsidRPr="00A47BE4">
        <w:rPr>
          <w:lang w:val="en-US"/>
        </w:rPr>
        <w:t>Send the invoice</w:t>
      </w:r>
    </w:p>
    <w:p w14:paraId="1E807742" w14:textId="77777777" w:rsidR="00A47BE4" w:rsidRPr="00A47BE4" w:rsidRDefault="00A47BE4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A47BE4">
        <w:rPr>
          <w:lang w:val="en-US"/>
        </w:rPr>
        <w:t>Invoices can be sent to the Client/Representative, Plan manager or yourself</w:t>
      </w:r>
    </w:p>
    <w:p w14:paraId="23140C87" w14:textId="77777777" w:rsidR="00815B31" w:rsidRPr="00815B31" w:rsidRDefault="00815B31" w:rsidP="00815B31">
      <w:pPr>
        <w:pStyle w:val="ListParagraph"/>
        <w:numPr>
          <w:ilvl w:val="0"/>
          <w:numId w:val="24"/>
        </w:numPr>
        <w:rPr>
          <w:lang w:val="en-US"/>
        </w:rPr>
      </w:pPr>
      <w:r w:rsidRPr="00815B31">
        <w:rPr>
          <w:lang w:val="en-US"/>
        </w:rPr>
        <w:t>Once the invoice is paid it can be reconciled</w:t>
      </w:r>
    </w:p>
    <w:p w14:paraId="53316E55" w14:textId="77777777" w:rsidR="00815B31" w:rsidRPr="00815B31" w:rsidRDefault="00815B31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815B31">
        <w:rPr>
          <w:lang w:val="en-US"/>
        </w:rPr>
        <w:lastRenderedPageBreak/>
        <w:t>Select ‘Filters’</w:t>
      </w:r>
    </w:p>
    <w:p w14:paraId="2A62A42C" w14:textId="77777777" w:rsidR="00815B31" w:rsidRPr="00815B31" w:rsidRDefault="00815B31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815B31">
        <w:rPr>
          <w:lang w:val="en-US"/>
        </w:rPr>
        <w:t>Select ‘Status – Sent’</w:t>
      </w:r>
    </w:p>
    <w:p w14:paraId="2540F80A" w14:textId="77777777" w:rsidR="00815B31" w:rsidRPr="00815B31" w:rsidRDefault="00815B31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815B31">
        <w:rPr>
          <w:lang w:val="en-US"/>
        </w:rPr>
        <w:t>Edit the invoice</w:t>
      </w:r>
    </w:p>
    <w:p w14:paraId="4878591F" w14:textId="77777777" w:rsidR="00815B31" w:rsidRPr="00815B31" w:rsidRDefault="00815B31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815B31">
        <w:rPr>
          <w:lang w:val="en-US"/>
        </w:rPr>
        <w:t>Enter ‘Amount paid’</w:t>
      </w:r>
    </w:p>
    <w:p w14:paraId="4BFFCAA9" w14:textId="18EBF0CE" w:rsidR="00815B31" w:rsidRDefault="00815B31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815B31">
        <w:rPr>
          <w:lang w:val="en-US"/>
        </w:rPr>
        <w:t>Select ‘Save’</w:t>
      </w:r>
    </w:p>
    <w:p w14:paraId="67D3D627" w14:textId="77777777" w:rsidR="00815B31" w:rsidRPr="00815B31" w:rsidRDefault="00815B31" w:rsidP="00815B31">
      <w:pPr>
        <w:pStyle w:val="ListParagraph"/>
        <w:numPr>
          <w:ilvl w:val="0"/>
          <w:numId w:val="24"/>
        </w:numPr>
        <w:rPr>
          <w:lang w:val="en-US"/>
        </w:rPr>
      </w:pPr>
      <w:r w:rsidRPr="00815B31">
        <w:rPr>
          <w:lang w:val="en-US"/>
        </w:rPr>
        <w:t>Once sent, the invoice can be exported to MYOB/Xero</w:t>
      </w:r>
    </w:p>
    <w:p w14:paraId="44CB7D7E" w14:textId="77777777" w:rsidR="00815B31" w:rsidRPr="00815B31" w:rsidRDefault="00815B31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815B31">
        <w:rPr>
          <w:lang w:val="en-US"/>
        </w:rPr>
        <w:t>Select the invoice</w:t>
      </w:r>
    </w:p>
    <w:p w14:paraId="4D9A371F" w14:textId="77777777" w:rsidR="00815B31" w:rsidRPr="00815B31" w:rsidRDefault="00815B31" w:rsidP="00815B31">
      <w:pPr>
        <w:pStyle w:val="ListParagraph"/>
        <w:numPr>
          <w:ilvl w:val="1"/>
          <w:numId w:val="24"/>
        </w:numPr>
        <w:rPr>
          <w:lang w:val="en-US"/>
        </w:rPr>
      </w:pPr>
      <w:r w:rsidRPr="00815B31">
        <w:rPr>
          <w:lang w:val="en-US"/>
        </w:rPr>
        <w:t>Select ‘sync selected’</w:t>
      </w:r>
    </w:p>
    <w:p w14:paraId="7F372A03" w14:textId="79D2373C" w:rsidR="00815B31" w:rsidRDefault="00815B31" w:rsidP="00815B31">
      <w:pPr>
        <w:ind w:left="720" w:hanging="360"/>
        <w:rPr>
          <w:lang w:val="en-US"/>
        </w:rPr>
      </w:pPr>
    </w:p>
    <w:p w14:paraId="109DEA3E" w14:textId="41B3BBAC" w:rsidR="00815B31" w:rsidRDefault="00815B31" w:rsidP="00C15015">
      <w:pPr>
        <w:pStyle w:val="Heading1"/>
        <w:rPr>
          <w:lang w:val="en-US"/>
        </w:rPr>
      </w:pPr>
      <w:bookmarkStart w:id="4" w:name="_Toc82529227"/>
      <w:r>
        <w:rPr>
          <w:lang w:val="en-US"/>
        </w:rPr>
        <w:t xml:space="preserve">Test </w:t>
      </w:r>
      <w:r w:rsidR="00526EAF">
        <w:rPr>
          <w:lang w:val="en-US"/>
        </w:rPr>
        <w:t>Four</w:t>
      </w:r>
      <w:r>
        <w:rPr>
          <w:lang w:val="en-US"/>
        </w:rPr>
        <w:t xml:space="preserve"> – </w:t>
      </w:r>
      <w:r w:rsidRPr="00C15015">
        <w:t>managing</w:t>
      </w:r>
      <w:r>
        <w:rPr>
          <w:lang w:val="en-US"/>
        </w:rPr>
        <w:t xml:space="preserve"> engagements</w:t>
      </w:r>
      <w:bookmarkEnd w:id="4"/>
    </w:p>
    <w:p w14:paraId="0CFA30DE" w14:textId="13CB0F6C" w:rsidR="00815B31" w:rsidRDefault="00815B31" w:rsidP="00815B31">
      <w:pPr>
        <w:rPr>
          <w:lang w:val="en-US"/>
        </w:rPr>
      </w:pPr>
      <w:r w:rsidRPr="00815B31">
        <w:rPr>
          <w:lang w:val="en-US"/>
        </w:rPr>
        <w:t>When an engagement is approaching its expiry date, a renewal can be triggered. The renewal process is used to renew engagements, including schedules of support, service bookings + agreements.  An engagement can also be expired if a plan is finished early.</w:t>
      </w:r>
    </w:p>
    <w:p w14:paraId="701B6152" w14:textId="6FE17654" w:rsidR="00815B31" w:rsidRDefault="00815B31" w:rsidP="00815B31">
      <w:pPr>
        <w:rPr>
          <w:lang w:val="en-US"/>
        </w:rPr>
      </w:pPr>
      <w:r>
        <w:rPr>
          <w:b/>
          <w:bCs/>
          <w:lang w:val="en-US"/>
        </w:rPr>
        <w:t>Steps</w:t>
      </w:r>
    </w:p>
    <w:p w14:paraId="37855553" w14:textId="592F9EA1" w:rsidR="00815B31" w:rsidRDefault="00815B31" w:rsidP="00815B31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Renewing engagements</w:t>
      </w:r>
    </w:p>
    <w:p w14:paraId="12E55E88" w14:textId="6FB6C265" w:rsidR="00815B31" w:rsidRDefault="00815B31" w:rsidP="00815B31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Expiring engagements</w:t>
      </w:r>
    </w:p>
    <w:p w14:paraId="514C82F8" w14:textId="34503F8D" w:rsidR="00815B31" w:rsidRDefault="00815B31" w:rsidP="00815B31">
      <w:pPr>
        <w:rPr>
          <w:lang w:val="en-US"/>
        </w:rPr>
      </w:pPr>
    </w:p>
    <w:p w14:paraId="05A2CA6F" w14:textId="63B378FB" w:rsidR="00815B31" w:rsidRDefault="00815B31" w:rsidP="00815B31">
      <w:pPr>
        <w:rPr>
          <w:lang w:val="en-US"/>
        </w:rPr>
      </w:pPr>
      <w:r>
        <w:rPr>
          <w:b/>
          <w:bCs/>
          <w:lang w:val="en-US"/>
        </w:rPr>
        <w:t>To test managing engagements</w:t>
      </w:r>
    </w:p>
    <w:p w14:paraId="58B408E1" w14:textId="77777777" w:rsidR="00815B31" w:rsidRP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t>Navigate to the GENIUS Clients panel</w:t>
      </w:r>
    </w:p>
    <w:p w14:paraId="0DC57995" w14:textId="77777777" w:rsidR="00815B31" w:rsidRP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t>Select the ‘Renewal’ icon</w:t>
      </w:r>
    </w:p>
    <w:p w14:paraId="6BD5F46F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The yellow renewal icon means a renewal has commenced and is currently pending approval</w:t>
      </w:r>
    </w:p>
    <w:p w14:paraId="0A0F4615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The blue renewal icon means a renewal has not yet commenced and is pending actioning</w:t>
      </w:r>
    </w:p>
    <w:p w14:paraId="07003B92" w14:textId="6AF8C499" w:rsid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A green renewal icon means a renewal has been completed and is awaiting the new plan date to come into effect</w:t>
      </w:r>
    </w:p>
    <w:p w14:paraId="649B212F" w14:textId="3399E69F" w:rsidR="00815B31" w:rsidRPr="00815B31" w:rsidRDefault="00815B31" w:rsidP="00815B31">
      <w:pPr>
        <w:ind w:left="360" w:firstLine="720"/>
        <w:rPr>
          <w:lang w:val="en-US"/>
        </w:rPr>
      </w:pPr>
      <w:r>
        <w:rPr>
          <w:noProof/>
        </w:rPr>
        <w:drawing>
          <wp:inline distT="0" distB="0" distL="0" distR="0" wp14:anchorId="32313289" wp14:editId="246C8445">
            <wp:extent cx="5731510" cy="131572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326C" w14:textId="77777777" w:rsidR="00815B31" w:rsidRP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t>Complete the engagement amendments for renewal</w:t>
      </w:r>
    </w:p>
    <w:p w14:paraId="70A61B8B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Ensure schedule of supports are renewed + finalized to match client’s needs</w:t>
      </w:r>
    </w:p>
    <w:p w14:paraId="2F7B9A2F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Ensure service bookings are up to date and match the NDIA portal</w:t>
      </w:r>
    </w:p>
    <w:p w14:paraId="33D6CC20" w14:textId="77777777" w:rsidR="00815B31" w:rsidRPr="00815B31" w:rsidRDefault="00815B31" w:rsidP="00815B31">
      <w:pPr>
        <w:pStyle w:val="ListParagraph"/>
        <w:numPr>
          <w:ilvl w:val="1"/>
          <w:numId w:val="25"/>
        </w:numPr>
        <w:rPr>
          <w:lang w:val="en-US"/>
        </w:rPr>
      </w:pPr>
      <w:r w:rsidRPr="00815B31">
        <w:rPr>
          <w:lang w:val="en-US"/>
        </w:rPr>
        <w:t>Ensure new service agreement can be generated and signed</w:t>
      </w:r>
    </w:p>
    <w:p w14:paraId="50CE5BE3" w14:textId="77777777" w:rsidR="00815B31" w:rsidRPr="00815B31" w:rsidRDefault="00815B31" w:rsidP="00815B31">
      <w:pPr>
        <w:pStyle w:val="ListParagraph"/>
        <w:numPr>
          <w:ilvl w:val="0"/>
          <w:numId w:val="25"/>
        </w:numPr>
        <w:rPr>
          <w:lang w:val="en-US"/>
        </w:rPr>
      </w:pPr>
      <w:r w:rsidRPr="00815B31">
        <w:rPr>
          <w:lang w:val="en-US"/>
        </w:rPr>
        <w:t>Upon completing renewal, the engagement will be active from the start date of the renewed plan and previous engagement expires</w:t>
      </w:r>
    </w:p>
    <w:p w14:paraId="77352965" w14:textId="755103D4" w:rsidR="00815B31" w:rsidRDefault="00815B31" w:rsidP="00815B31">
      <w:pPr>
        <w:ind w:left="360"/>
        <w:rPr>
          <w:lang w:val="en-US"/>
        </w:rPr>
      </w:pPr>
    </w:p>
    <w:p w14:paraId="48BF5E36" w14:textId="77777777" w:rsidR="00815B31" w:rsidRDefault="00815B31" w:rsidP="00815B31">
      <w:pPr>
        <w:rPr>
          <w:lang w:val="en-US"/>
        </w:rPr>
      </w:pPr>
      <w:r>
        <w:rPr>
          <w:lang w:val="en-US"/>
        </w:rPr>
        <w:t>If a plan end date has been set incorrectly, it can’t be extended. In these circumstances, the engagement must be manually expired.</w:t>
      </w:r>
    </w:p>
    <w:p w14:paraId="400CDE77" w14:textId="44942DC4" w:rsidR="00815B31" w:rsidRDefault="00815B31" w:rsidP="00815B31">
      <w:pPr>
        <w:rPr>
          <w:lang w:val="en-US"/>
        </w:rPr>
      </w:pPr>
    </w:p>
    <w:p w14:paraId="03AC8349" w14:textId="4444A9D6" w:rsidR="00815B31" w:rsidRDefault="00815B31" w:rsidP="00815B31">
      <w:pPr>
        <w:rPr>
          <w:lang w:val="en-US"/>
        </w:rPr>
      </w:pPr>
      <w:r>
        <w:rPr>
          <w:b/>
          <w:bCs/>
          <w:lang w:val="en-US"/>
        </w:rPr>
        <w:t>To manually expire an engagement</w:t>
      </w:r>
    </w:p>
    <w:p w14:paraId="088562F4" w14:textId="77777777" w:rsidR="00815B31" w:rsidRPr="00815B31" w:rsidRDefault="00815B31" w:rsidP="00815B31">
      <w:pPr>
        <w:pStyle w:val="ListParagraph"/>
        <w:numPr>
          <w:ilvl w:val="0"/>
          <w:numId w:val="26"/>
        </w:numPr>
        <w:rPr>
          <w:lang w:val="en-US"/>
        </w:rPr>
      </w:pPr>
      <w:r w:rsidRPr="00815B31">
        <w:rPr>
          <w:lang w:val="en-US"/>
        </w:rPr>
        <w:t>Edit the engagement</w:t>
      </w:r>
    </w:p>
    <w:p w14:paraId="353638B1" w14:textId="3DEEAD91" w:rsidR="00815B31" w:rsidRPr="00815B31" w:rsidRDefault="00815B31" w:rsidP="00815B31">
      <w:pPr>
        <w:pStyle w:val="ListParagraph"/>
        <w:numPr>
          <w:ilvl w:val="0"/>
          <w:numId w:val="26"/>
        </w:numPr>
        <w:rPr>
          <w:lang w:val="en-US"/>
        </w:rPr>
      </w:pPr>
      <w:r w:rsidRPr="00815B31">
        <w:rPr>
          <w:lang w:val="en-US"/>
        </w:rPr>
        <w:t>Set ‘Plan end date’ to a date in the past, e.g. the day the last plan ended.</w:t>
      </w:r>
    </w:p>
    <w:p w14:paraId="1934427F" w14:textId="158B8CE2" w:rsidR="00815B31" w:rsidRDefault="00815B31" w:rsidP="00815B31">
      <w:pPr>
        <w:pStyle w:val="ListParagraph"/>
        <w:numPr>
          <w:ilvl w:val="0"/>
          <w:numId w:val="26"/>
        </w:numPr>
        <w:rPr>
          <w:lang w:val="en-US"/>
        </w:rPr>
      </w:pPr>
      <w:r w:rsidRPr="00815B31">
        <w:rPr>
          <w:lang w:val="en-US"/>
        </w:rPr>
        <w:t>Click ‘Save + Close’</w:t>
      </w:r>
    </w:p>
    <w:p w14:paraId="25A871DA" w14:textId="51AC1A16" w:rsidR="00815B31" w:rsidRDefault="00815B31" w:rsidP="00815B31">
      <w:pPr>
        <w:rPr>
          <w:lang w:val="en-US"/>
        </w:rPr>
      </w:pPr>
    </w:p>
    <w:p w14:paraId="5271AAB6" w14:textId="069ED787" w:rsidR="00815B31" w:rsidRPr="00815B31" w:rsidRDefault="00815B31" w:rsidP="00815B31">
      <w:pPr>
        <w:rPr>
          <w:lang w:val="en-US"/>
        </w:rPr>
      </w:pPr>
      <w:r>
        <w:rPr>
          <w:lang w:val="en-US"/>
        </w:rPr>
        <w:t>This will manually expire the engagement and a renewal can be triggered.</w:t>
      </w:r>
    </w:p>
    <w:sectPr w:rsidR="00815B31" w:rsidRPr="00815B31" w:rsidSect="00AC7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720" w:bottom="720" w:left="720" w:header="709" w:footer="2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794D" w14:textId="77777777" w:rsidR="00376029" w:rsidRDefault="00376029" w:rsidP="00877175">
      <w:pPr>
        <w:spacing w:after="0" w:line="240" w:lineRule="auto"/>
      </w:pPr>
      <w:r>
        <w:separator/>
      </w:r>
    </w:p>
  </w:endnote>
  <w:endnote w:type="continuationSeparator" w:id="0">
    <w:p w14:paraId="7E48C24F" w14:textId="77777777" w:rsidR="00376029" w:rsidRDefault="00376029" w:rsidP="008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DED" w14:textId="77777777" w:rsidR="00B264B8" w:rsidRDefault="00B26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26A" w14:textId="77777777" w:rsidR="00376029" w:rsidRDefault="00376029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A266A2" wp14:editId="1F480974">
              <wp:simplePos x="0" y="0"/>
              <wp:positionH relativeFrom="column">
                <wp:posOffset>-219075</wp:posOffset>
              </wp:positionH>
              <wp:positionV relativeFrom="paragraph">
                <wp:posOffset>1254125</wp:posOffset>
              </wp:positionV>
              <wp:extent cx="236093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08741" w14:textId="69EC3AB9" w:rsidR="00376029" w:rsidRPr="00B264B8" w:rsidRDefault="00B264B8" w:rsidP="002D7812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A266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98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" filled="f" stroked="f">
              <v:textbox style="mso-fit-shape-to-text:t">
                <w:txbxContent>
                  <w:p w14:paraId="10608741" w14:textId="69EC3AB9" w:rsidR="00376029" w:rsidRPr="00B264B8" w:rsidRDefault="00B264B8" w:rsidP="002D7812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color w:val="808285"/>
                        <w:sz w:val="12"/>
                        <w:szCs w:val="12"/>
                        <w:lang w:val="en-US"/>
                      </w:rPr>
                      <w:t>210302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16DD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9F6E40" wp14:editId="64554F2F">
              <wp:simplePos x="0" y="0"/>
              <wp:positionH relativeFrom="column">
                <wp:posOffset>-219075</wp:posOffset>
              </wp:positionH>
              <wp:positionV relativeFrom="paragraph">
                <wp:posOffset>1047750</wp:posOffset>
              </wp:positionV>
              <wp:extent cx="10858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DEA78" w14:textId="513253FC" w:rsidR="00376029" w:rsidRPr="00CE4066" w:rsidRDefault="00376029" w:rsidP="00CE4066">
                          <w:pPr>
                            <w:rPr>
                              <w:color w:val="808285"/>
                              <w:sz w:val="16"/>
                              <w:szCs w:val="16"/>
                            </w:rPr>
                          </w:pP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E4066">
                            <w:rPr>
                              <w:color w:val="80828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40E2">
                            <w:rPr>
                              <w:noProof/>
                              <w:color w:val="808285"/>
                              <w:sz w:val="16"/>
                              <w:szCs w:val="16"/>
                            </w:rPr>
                            <w:t>2</w:t>
                          </w:r>
                          <w:r w:rsidRPr="00CE4066">
                            <w:rPr>
                              <w:noProof/>
                              <w:color w:val="80828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9F6E40" id="_x0000_s1027" type="#_x0000_t202" style="position:absolute;margin-left:-17.25pt;margin-top:82.5pt;width:8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e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" filled="f" stroked="f">
              <v:textbox style="mso-fit-shape-to-text:t">
                <w:txbxContent>
                  <w:p w14:paraId="1FEDEA78" w14:textId="513253FC" w:rsidR="00376029" w:rsidRPr="00CE4066" w:rsidRDefault="00376029" w:rsidP="00CE4066">
                    <w:pPr>
                      <w:rPr>
                        <w:color w:val="808285"/>
                        <w:sz w:val="16"/>
                        <w:szCs w:val="16"/>
                      </w:rPr>
                    </w:pPr>
                    <w:r w:rsidRPr="00CE4066">
                      <w:rPr>
                        <w:color w:val="808285"/>
                        <w:sz w:val="16"/>
                        <w:szCs w:val="16"/>
                      </w:rPr>
                      <w:t xml:space="preserve">Page | </w:t>
                    </w:r>
                    <w:r w:rsidRPr="00CE4066">
                      <w:rPr>
                        <w:color w:val="808285"/>
                        <w:sz w:val="16"/>
                        <w:szCs w:val="16"/>
                      </w:rPr>
                      <w:fldChar w:fldCharType="begin"/>
                    </w:r>
                    <w:r w:rsidRPr="00CE4066">
                      <w:rPr>
                        <w:color w:val="80828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E4066">
                      <w:rPr>
                        <w:color w:val="808285"/>
                        <w:sz w:val="16"/>
                        <w:szCs w:val="16"/>
                      </w:rPr>
                      <w:fldChar w:fldCharType="separate"/>
                    </w:r>
                    <w:r w:rsidR="00ED40E2">
                      <w:rPr>
                        <w:noProof/>
                        <w:color w:val="808285"/>
                        <w:sz w:val="16"/>
                        <w:szCs w:val="16"/>
                      </w:rPr>
                      <w:t>2</w:t>
                    </w:r>
                    <w:r w:rsidRPr="00CE4066">
                      <w:rPr>
                        <w:noProof/>
                        <w:color w:val="80828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7CBB848" wp14:editId="1D6985D0">
          <wp:simplePos x="0" y="0"/>
          <wp:positionH relativeFrom="page">
            <wp:align>left</wp:align>
          </wp:positionH>
          <wp:positionV relativeFrom="paragraph">
            <wp:posOffset>-727074</wp:posOffset>
          </wp:positionV>
          <wp:extent cx="7589746" cy="2221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Letterhead follow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46" cy="222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2E45" w14:textId="77777777" w:rsidR="00376029" w:rsidRDefault="00376029">
    <w:pPr>
      <w:pStyle w:val="Footer"/>
      <w:rPr>
        <w:noProof/>
        <w:lang w:val="en-US"/>
      </w:rPr>
    </w:pPr>
  </w:p>
  <w:p w14:paraId="4F5FE422" w14:textId="23C07A2E" w:rsidR="00376029" w:rsidRDefault="00B264B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2A1BEC23" wp14:editId="5518D02B">
          <wp:simplePos x="0" y="0"/>
          <wp:positionH relativeFrom="column">
            <wp:posOffset>-453390</wp:posOffset>
          </wp:positionH>
          <wp:positionV relativeFrom="paragraph">
            <wp:posOffset>313690</wp:posOffset>
          </wp:positionV>
          <wp:extent cx="7540786" cy="1166495"/>
          <wp:effectExtent l="0" t="0" r="3175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86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029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1B940D3" wp14:editId="3E06BE54">
              <wp:simplePos x="0" y="0"/>
              <wp:positionH relativeFrom="column">
                <wp:posOffset>-168275</wp:posOffset>
              </wp:positionH>
              <wp:positionV relativeFrom="paragraph">
                <wp:posOffset>144780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C61D3" w14:textId="400BBD0B" w:rsidR="000D26FD" w:rsidRPr="00B264B8" w:rsidRDefault="00B264B8">
                          <w:pPr>
                            <w:rPr>
                              <w:color w:val="808285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B940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.25pt;margin-top:11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AH&#10;9tkU3gAAAAoBAAAPAAAAAAAAAAAAAAAAAGoEAABkcnMvZG93bnJldi54bWxQSwUGAAAAAAQABADz&#10;AAAAdQUAAAAA&#10;" filled="f" stroked="f">
              <v:textbox style="mso-fit-shape-to-text:t">
                <w:txbxContent>
                  <w:p w14:paraId="01EC61D3" w14:textId="400BBD0B" w:rsidR="000D26FD" w:rsidRPr="00B264B8" w:rsidRDefault="00B264B8">
                    <w:pPr>
                      <w:rPr>
                        <w:color w:val="808285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color w:val="808285"/>
                        <w:sz w:val="12"/>
                        <w:szCs w:val="12"/>
                        <w:lang w:val="en-US"/>
                      </w:rPr>
                      <w:t>210302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C936" w14:textId="77777777" w:rsidR="00376029" w:rsidRDefault="00376029" w:rsidP="00877175">
      <w:pPr>
        <w:spacing w:after="0" w:line="240" w:lineRule="auto"/>
      </w:pPr>
      <w:r>
        <w:separator/>
      </w:r>
    </w:p>
  </w:footnote>
  <w:footnote w:type="continuationSeparator" w:id="0">
    <w:p w14:paraId="40168AD7" w14:textId="77777777" w:rsidR="00376029" w:rsidRDefault="00376029" w:rsidP="0087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9B70" w14:textId="77777777" w:rsidR="00B264B8" w:rsidRDefault="00B26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E23F" w14:textId="77777777" w:rsidR="00B264B8" w:rsidRDefault="00B26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993D" w14:textId="77777777" w:rsidR="00376029" w:rsidRDefault="0037602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43F465D" wp14:editId="3A7B5AC4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3800" cy="2974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7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2CA"/>
    <w:multiLevelType w:val="hybridMultilevel"/>
    <w:tmpl w:val="C2CA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972"/>
    <w:multiLevelType w:val="hybridMultilevel"/>
    <w:tmpl w:val="A4946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D0F6D"/>
    <w:multiLevelType w:val="hybridMultilevel"/>
    <w:tmpl w:val="0A6402AE"/>
    <w:lvl w:ilvl="0" w:tplc="201C4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BA4"/>
    <w:multiLevelType w:val="hybridMultilevel"/>
    <w:tmpl w:val="29E0B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5611A"/>
    <w:multiLevelType w:val="hybridMultilevel"/>
    <w:tmpl w:val="E076A5B4"/>
    <w:lvl w:ilvl="0" w:tplc="7366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AF3"/>
    <w:multiLevelType w:val="hybridMultilevel"/>
    <w:tmpl w:val="5972C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F7E6F"/>
    <w:multiLevelType w:val="hybridMultilevel"/>
    <w:tmpl w:val="712C0C96"/>
    <w:lvl w:ilvl="0" w:tplc="F5F42DB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3B8A"/>
    <w:multiLevelType w:val="hybridMultilevel"/>
    <w:tmpl w:val="D646CD7A"/>
    <w:lvl w:ilvl="0" w:tplc="8028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04BEB"/>
    <w:multiLevelType w:val="hybridMultilevel"/>
    <w:tmpl w:val="6A48D4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4162"/>
    <w:multiLevelType w:val="hybridMultilevel"/>
    <w:tmpl w:val="1C26409A"/>
    <w:lvl w:ilvl="0" w:tplc="F5AC6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4047"/>
    <w:multiLevelType w:val="hybridMultilevel"/>
    <w:tmpl w:val="2828ECA4"/>
    <w:lvl w:ilvl="0" w:tplc="7366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C7C"/>
    <w:multiLevelType w:val="hybridMultilevel"/>
    <w:tmpl w:val="75581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AB2FA">
      <w:numFmt w:val="bullet"/>
      <w:lvlText w:val="•"/>
      <w:lvlJc w:val="left"/>
      <w:pPr>
        <w:ind w:left="1800" w:hanging="720"/>
      </w:pPr>
      <w:rPr>
        <w:rFonts w:ascii="Myriad Pro Light" w:eastAsiaTheme="minorHAnsi" w:hAnsi="Myriad Pro 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33EF"/>
    <w:multiLevelType w:val="hybridMultilevel"/>
    <w:tmpl w:val="EC30A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A2EF4C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3D11FE"/>
    <w:multiLevelType w:val="hybridMultilevel"/>
    <w:tmpl w:val="47F63546"/>
    <w:lvl w:ilvl="0" w:tplc="7366A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06C76"/>
    <w:multiLevelType w:val="hybridMultilevel"/>
    <w:tmpl w:val="8DB2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C5C6E"/>
    <w:multiLevelType w:val="hybridMultilevel"/>
    <w:tmpl w:val="79425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560821"/>
    <w:multiLevelType w:val="hybridMultilevel"/>
    <w:tmpl w:val="9078D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7C0"/>
    <w:multiLevelType w:val="multilevel"/>
    <w:tmpl w:val="77DA4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 w15:restartNumberingAfterBreak="0">
    <w:nsid w:val="69F41390"/>
    <w:multiLevelType w:val="hybridMultilevel"/>
    <w:tmpl w:val="7002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7A2D"/>
    <w:multiLevelType w:val="hybridMultilevel"/>
    <w:tmpl w:val="E1AAF4F8"/>
    <w:lvl w:ilvl="0" w:tplc="201C4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82DB5"/>
    <w:multiLevelType w:val="hybridMultilevel"/>
    <w:tmpl w:val="8BA49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B23C3"/>
    <w:multiLevelType w:val="hybridMultilevel"/>
    <w:tmpl w:val="6E52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3E3947"/>
    <w:multiLevelType w:val="hybridMultilevel"/>
    <w:tmpl w:val="4E2C7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EC469FC"/>
    <w:multiLevelType w:val="hybridMultilevel"/>
    <w:tmpl w:val="224C4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7"/>
  </w:num>
  <w:num w:numId="5">
    <w:abstractNumId w:val="17"/>
  </w:num>
  <w:num w:numId="6">
    <w:abstractNumId w:val="1"/>
  </w:num>
  <w:num w:numId="7">
    <w:abstractNumId w:val="20"/>
  </w:num>
  <w:num w:numId="8">
    <w:abstractNumId w:val="14"/>
  </w:num>
  <w:num w:numId="9">
    <w:abstractNumId w:val="8"/>
  </w:num>
  <w:num w:numId="10">
    <w:abstractNumId w:val="2"/>
  </w:num>
  <w:num w:numId="11">
    <w:abstractNumId w:val="11"/>
  </w:num>
  <w:num w:numId="12">
    <w:abstractNumId w:val="22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21"/>
  </w:num>
  <w:num w:numId="19">
    <w:abstractNumId w:val="6"/>
    <w:lvlOverride w:ilvl="0">
      <w:startOverride w:val="1"/>
    </w:lvlOverride>
  </w:num>
  <w:num w:numId="20">
    <w:abstractNumId w:val="12"/>
  </w:num>
  <w:num w:numId="21">
    <w:abstractNumId w:val="6"/>
    <w:lvlOverride w:ilvl="0">
      <w:startOverride w:val="1"/>
    </w:lvlOverride>
  </w:num>
  <w:num w:numId="22">
    <w:abstractNumId w:val="16"/>
  </w:num>
  <w:num w:numId="23">
    <w:abstractNumId w:val="23"/>
  </w:num>
  <w:num w:numId="24">
    <w:abstractNumId w:val="1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75"/>
    <w:rsid w:val="000211B0"/>
    <w:rsid w:val="00036AAF"/>
    <w:rsid w:val="00077A16"/>
    <w:rsid w:val="0008071E"/>
    <w:rsid w:val="00090AE0"/>
    <w:rsid w:val="000C7E6B"/>
    <w:rsid w:val="000D26FD"/>
    <w:rsid w:val="000D3C58"/>
    <w:rsid w:val="000E007C"/>
    <w:rsid w:val="000F3CBD"/>
    <w:rsid w:val="001001AA"/>
    <w:rsid w:val="00107F04"/>
    <w:rsid w:val="00140B31"/>
    <w:rsid w:val="001842CC"/>
    <w:rsid w:val="00197895"/>
    <w:rsid w:val="001F4388"/>
    <w:rsid w:val="002337CB"/>
    <w:rsid w:val="00245585"/>
    <w:rsid w:val="00274C57"/>
    <w:rsid w:val="00280AA2"/>
    <w:rsid w:val="002A3DF8"/>
    <w:rsid w:val="002A7095"/>
    <w:rsid w:val="002A728B"/>
    <w:rsid w:val="002D7812"/>
    <w:rsid w:val="002F1A15"/>
    <w:rsid w:val="00376029"/>
    <w:rsid w:val="003B589F"/>
    <w:rsid w:val="003F0D99"/>
    <w:rsid w:val="003F2EF1"/>
    <w:rsid w:val="003F35F3"/>
    <w:rsid w:val="00455185"/>
    <w:rsid w:val="00484C17"/>
    <w:rsid w:val="004914C1"/>
    <w:rsid w:val="00494298"/>
    <w:rsid w:val="004A0914"/>
    <w:rsid w:val="004A1424"/>
    <w:rsid w:val="004F6EFB"/>
    <w:rsid w:val="00526EAF"/>
    <w:rsid w:val="00536DCB"/>
    <w:rsid w:val="005863D8"/>
    <w:rsid w:val="005B20A4"/>
    <w:rsid w:val="005B4314"/>
    <w:rsid w:val="005D3AD0"/>
    <w:rsid w:val="005F3AC7"/>
    <w:rsid w:val="00640578"/>
    <w:rsid w:val="0065240D"/>
    <w:rsid w:val="00654014"/>
    <w:rsid w:val="00655061"/>
    <w:rsid w:val="0068273A"/>
    <w:rsid w:val="0068350E"/>
    <w:rsid w:val="006A225A"/>
    <w:rsid w:val="006E0BC1"/>
    <w:rsid w:val="00703044"/>
    <w:rsid w:val="00730EF3"/>
    <w:rsid w:val="00746F71"/>
    <w:rsid w:val="00747522"/>
    <w:rsid w:val="00770F8B"/>
    <w:rsid w:val="007A233A"/>
    <w:rsid w:val="007C01F9"/>
    <w:rsid w:val="00815B31"/>
    <w:rsid w:val="00835BA3"/>
    <w:rsid w:val="008535E8"/>
    <w:rsid w:val="00857A5D"/>
    <w:rsid w:val="00877175"/>
    <w:rsid w:val="008918B9"/>
    <w:rsid w:val="00896417"/>
    <w:rsid w:val="008D1F74"/>
    <w:rsid w:val="008E08FB"/>
    <w:rsid w:val="009312BB"/>
    <w:rsid w:val="00944052"/>
    <w:rsid w:val="009801AF"/>
    <w:rsid w:val="00982609"/>
    <w:rsid w:val="00987283"/>
    <w:rsid w:val="009A7CA7"/>
    <w:rsid w:val="00A44508"/>
    <w:rsid w:val="00A47BE4"/>
    <w:rsid w:val="00A71870"/>
    <w:rsid w:val="00A85A99"/>
    <w:rsid w:val="00AC71F5"/>
    <w:rsid w:val="00B264B8"/>
    <w:rsid w:val="00B54B94"/>
    <w:rsid w:val="00B6196F"/>
    <w:rsid w:val="00B91C21"/>
    <w:rsid w:val="00C01B76"/>
    <w:rsid w:val="00C15015"/>
    <w:rsid w:val="00C175EE"/>
    <w:rsid w:val="00C43C72"/>
    <w:rsid w:val="00C542E0"/>
    <w:rsid w:val="00C6084D"/>
    <w:rsid w:val="00C85927"/>
    <w:rsid w:val="00CE29C5"/>
    <w:rsid w:val="00CE4066"/>
    <w:rsid w:val="00CE4601"/>
    <w:rsid w:val="00D03ACF"/>
    <w:rsid w:val="00D50C67"/>
    <w:rsid w:val="00D515B4"/>
    <w:rsid w:val="00D56565"/>
    <w:rsid w:val="00DB1E2A"/>
    <w:rsid w:val="00DC2C6B"/>
    <w:rsid w:val="00DD5E36"/>
    <w:rsid w:val="00DD70DB"/>
    <w:rsid w:val="00DE0ED4"/>
    <w:rsid w:val="00DE1058"/>
    <w:rsid w:val="00EB0D2C"/>
    <w:rsid w:val="00EB210D"/>
    <w:rsid w:val="00EB2E5E"/>
    <w:rsid w:val="00EB46FC"/>
    <w:rsid w:val="00ED40E2"/>
    <w:rsid w:val="00ED450B"/>
    <w:rsid w:val="00ED7F6C"/>
    <w:rsid w:val="00EE4D8C"/>
    <w:rsid w:val="00EF30F2"/>
    <w:rsid w:val="00EF488D"/>
    <w:rsid w:val="00F05FB3"/>
    <w:rsid w:val="00F12B79"/>
    <w:rsid w:val="00F1486A"/>
    <w:rsid w:val="00F24AAC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6C7FFD"/>
  <w15:chartTrackingRefBased/>
  <w15:docId w15:val="{99968BF8-753F-426B-9581-85D7D8F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FD"/>
    <w:rPr>
      <w:rFonts w:ascii="Myriad Pro Light" w:hAnsi="Myriad Pro Light"/>
      <w:color w:val="58595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1501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FD"/>
    <w:pPr>
      <w:keepNext/>
      <w:keepLines/>
      <w:spacing w:after="240" w:line="240" w:lineRule="auto"/>
      <w:outlineLvl w:val="1"/>
    </w:pPr>
    <w:rPr>
      <w:rFonts w:eastAsiaTheme="majorEastAsia" w:cstheme="majorBidi"/>
      <w:caps/>
      <w:color w:val="29ABE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5"/>
  </w:style>
  <w:style w:type="paragraph" w:styleId="Footer">
    <w:name w:val="footer"/>
    <w:basedOn w:val="Normal"/>
    <w:link w:val="Foot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75"/>
  </w:style>
  <w:style w:type="character" w:customStyle="1" w:styleId="Heading1Char">
    <w:name w:val="Heading 1 Char"/>
    <w:basedOn w:val="DefaultParagraphFont"/>
    <w:link w:val="Heading1"/>
    <w:uiPriority w:val="9"/>
    <w:rsid w:val="00C15015"/>
    <w:rPr>
      <w:rFonts w:ascii="Myriad Pro Light" w:eastAsiaTheme="majorEastAsia" w:hAnsi="Myriad Pro Light" w:cstheme="majorBidi"/>
      <w:caps/>
      <w:color w:val="29ABE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26FD"/>
    <w:rPr>
      <w:rFonts w:ascii="Myriad Pro Light" w:eastAsiaTheme="majorEastAsia" w:hAnsi="Myriad Pro Light" w:cstheme="majorBidi"/>
      <w:caps/>
      <w:color w:val="29ABE2"/>
      <w:sz w:val="24"/>
      <w:szCs w:val="24"/>
    </w:rPr>
  </w:style>
  <w:style w:type="table" w:styleId="TableGrid">
    <w:name w:val="Table Grid"/>
    <w:basedOn w:val="TableNormal"/>
    <w:uiPriority w:val="39"/>
    <w:rsid w:val="002D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6FD"/>
    <w:pPr>
      <w:numPr>
        <w:numId w:val="17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82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5E36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DD5E3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D5E36"/>
    <w:rPr>
      <w:rFonts w:cs="Myriad Pro Light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15015"/>
    <w:p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50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50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5015"/>
    <w:rPr>
      <w:color w:val="0563C1" w:themeColor="hyperlink"/>
      <w:u w:val="single"/>
    </w:rPr>
  </w:style>
  <w:style w:type="paragraph" w:styleId="Title">
    <w:name w:val="Title"/>
    <w:next w:val="Normal"/>
    <w:link w:val="TitleChar"/>
    <w:uiPriority w:val="10"/>
    <w:qFormat/>
    <w:rsid w:val="00C15015"/>
    <w:rPr>
      <w:rFonts w:ascii="Myriad Pro Light" w:eastAsiaTheme="majorEastAsia" w:hAnsi="Myriad Pro Light" w:cstheme="majorBidi"/>
      <w:color w:val="085482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5015"/>
    <w:rPr>
      <w:rFonts w:ascii="Myriad Pro Light" w:eastAsiaTheme="majorEastAsia" w:hAnsi="Myriad Pro Light" w:cstheme="majorBidi"/>
      <w:color w:val="08548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A1DC0-3273-4C8E-8100-E01F389E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Shonay Shaw</dc:creator>
  <cp:keywords/>
  <dc:description/>
  <cp:lastModifiedBy>Natalie Boghossian</cp:lastModifiedBy>
  <cp:revision>10</cp:revision>
  <cp:lastPrinted>2018-09-13T00:30:00Z</cp:lastPrinted>
  <dcterms:created xsi:type="dcterms:W3CDTF">2020-05-01T01:14:00Z</dcterms:created>
  <dcterms:modified xsi:type="dcterms:W3CDTF">2021-09-14T06:26:00Z</dcterms:modified>
</cp:coreProperties>
</file>